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12 104 vom 29. Juni 2012</w:t>
      </w:r>
    </w:p>
    <w:p>
      <w:r>
        <w:t>VS Kantonsgericht, 2012-06-29, FR</w:t>
      </w:r>
    </w:p>
    <w:p>
      <w:r>
        <w:rPr>
          <w:b/>
        </w:rPr>
        <w:t xml:space="preserve">Quelle: </w:t>
      </w:r>
      <w:r>
        <w:t>https://mcp.opencaselaw.ch/entscheid/vs_gerichte_P3 12 104</w:t>
      </w:r>
    </w:p>
    <w:p>
      <w:r>
        <w:t>FR: VS_GERICHTE P3 12 104 du 29 juin 2012</w:t>
      </w:r>
    </w:p>
    <w:p>
      <w:r>
        <w:t>IT: VS_GERICHTE P3 12 104 del 29 giugno 2012</w:t>
      </w:r>
    </w:p>
    <w:p>
      <w:pPr>
        <w:pStyle w:val="Heading2"/>
      </w:pPr>
      <w:r>
        <w:t>Regeste</w:t>
      </w:r>
    </w:p>
    <w:p>
      <w:r>
        <w:t>JUGCIV P3 12 104 ORDONNANCE DU 29 JUIN 2012 Tribunal cantonal du Valais Chambre pénale Composition : Jacques Berthouzoz, juge unique ; Frédéric Carron, greffier ; en la cause pénale X___________, recourant contre l’ordonnance rendue le 21 mai 2012 par le Tribunal de l’application des peines et mesures, Palais de Justice, Case postale 2054, 1950 Sion 2 (refus de la libération conditionnelle ; art. 86 al. 1 et 2 CP)</w:t>
      </w:r>
    </w:p>
    <w:p>
      <w:pPr>
        <w:pStyle w:val="Heading2"/>
      </w:pPr>
      <w:r>
        <w:t>Erwägungen</w:t>
      </w:r>
    </w:p>
    <w:p>
      <w:r>
        <w:rPr>
          <w:b/>
        </w:rPr>
        <w:t>E. 1.1</w:t>
      </w:r>
    </w:p>
    <w:p>
      <w:r>
        <w:t>Un recours peut être formé devant un juge unique de la chambre pénale contre l’ordonnance du Tribunal de l’application des peines et mesures refusant la libération conditionnelle (art. 20 al. 3 LOJ et 13 al. 1 et 39 al. 2 let. b LACPP).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w:t>
      </w:r>
    </w:p>
    <w:p>
      <w:r>
        <w:rPr>
          <w:b/>
        </w:rPr>
        <w:t>E. 1.2</w:t>
      </w:r>
    </w:p>
    <w:p>
      <w:r>
        <w:t>En l’espèce, X___________ a qualité pour recourir, dès lors qu’il a un intérêt juridiquement protégé à l’annulation de l’ordonnance refusant sa libération conditionnelle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L’autorité compétente examine d’office si le détenu peut être libéré conditionnellement. Elle demande un rapport à la direction de l’établissement. Le détenu doit être entendu (al. 2).</w:t>
      </w:r>
    </w:p>
    <w:p>
      <w:r>
        <w:t>- 5 -</w:t>
      </w:r>
    </w:p>
    <w:p>
      <w:r>
        <w:t>L’art. 86 al. 1 CP renforce le principe selon lequel la libération conditionnelle est la règle et son refus l’exception. Il n’exige plus qu’il soit à prévoir que le condamné se conduira bien en liberté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et les arrêts). Par sa nature même, le pronostic ne saurait être tout à fait sûr. Force est de se contenter d’une certaine probabilité.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arrêts). Il y a également lieu de rechercher si la libération conditionnelle, éventuellement assortie d’une assistance de probation et de règles de conduite, ne favoriserait pas mieux la resocialisation de l’auteur que l’exécution complète de la peine (ATF 124 IV 193 consid. 4d/aa/bb). Dans l’émission du pronostic, l’autorité compétente dispose d’un large pouvoir d’appréciation (ATF 133 IV 201 consid. 2.3).</w:t>
      </w:r>
    </w:p>
    <w:p>
      <w:r>
        <w:rPr>
          <w:b/>
        </w:rPr>
        <w:t>E. 2.2</w:t>
      </w:r>
    </w:p>
    <w:p>
      <w:r>
        <w:t>En l’occurrence, en ce qui concerne tout d’abord les antécédents de X___________, on observe qu’en plus de sa condamnation à une peine privative de liberté de 46 mois et 7 jours par le Tribunal cantonal, le 11 juillet 2008, pour actes d’ordre sexuel avec des enfants (art. 187 ch. 1 al. 1 CP) et viol (art. 190 al. 1 CP), il a également été condamné à 3 semaines d’emprisonnement, avec sursis, par l’Office régional du juge d’instruction du Haut-Valais, le 18 novembre 2002, pour abus de confiance (art. 138 ch. 1 CP). S’agissant ensuite de la personnalité de X___________, on relève que, dans son rapport d’expertise psychiatrique du 4 septembre 2004, le Dr C___________ conclut qu’il souffre d’un trouble mixte de la personnalité, aux traits principalement pervers, paranoïaques et histrioniques. De l’avis de cet expert, à moins d’une prise en charge psychiatrique contrôlée sous la forme d’une psychothérapie, il est fort probable que l’intéressé ne modifie ni son mode relationnel, ni ses attitudes et son comportement envers autrui, en particulier à l’égard des femmes et/ou des jeunes filles. Or, le recourant ne consulte la Dresse I___________ que depuis le 11 janvier 2012, à raison d’une séance toutes les trois semaines.</w:t>
      </w:r>
    </w:p>
    <w:p>
      <w:r>
        <w:t>- 6 -</w:t>
      </w:r>
    </w:p>
    <w:p>
      <w:r>
        <w:t>Relativement au comportement de X___________ en général, il ressort par ailleurs du plan d’exécution de la sanction pénale ou à titre anticipé des établissements pénitentiaires que son attitude en détention et sur le lieu de travail est satisfaisante, tout comme ses relations avec le personnel et ses codétenus. De plus, le dossier renseigne qu’il travaille régulièrement depuis qu’il peut exécuter sa peine privative de liberté sous la forme de travail externe. Quant à son comportement dans le cadre des délits qui sont à l’origine de sa condamnation, il est rappelé que, selon le jugement du Tribunal cantonal, il a donné par surprise un baiser lingual à la mineure A___________, en août 2011, et contraint B___________ à subir deux actes sexuels, à la même époque, étant précisé qu’il n’a eu de cesse de nier les faits et n’a jamais émis le moindre regret au cours de la procédure pénale. Concernant le degré de l’éventuel amendement de X___________, force est encore de constater que, de l’avis des établissements pénitentiaires, il se perçoit toujours comme victime d’une erreur judiciaire – sa négation des infractions commises étant complète – et ne peut pas manifester des regrets pour ce qu’il n’a pas fait. Quant à la Dresse I___________, elle expose que le recourant s’estime victime d’une condamnation injuste et n’a pas encore conscience d’avoir des problèmes d’ordre psychique. Ces appréciations sont confirmées par X___________ qui, lors de son audition par le juge de l’application des peines et mesures du 21 mai 2012, a maintenu n’avoir jamais violé personne. Enfin, concernant les conditions dans lesquelles il est à prévoir que X___________ vivra, le dossier renseigne qu’il travaille et partage un appartement avec son amie D___________. Au surplus, le recourant paraît avoir reçu de la part du service de la population et des migrations un ordre d’expulsion, qui sera effectif dès la fin de l’exécution de sa peine privative de liberté, mais contre lequel il a recouru. Sur la base de cette appréciation globale, il est toujours à redouter que X___________ ne commette de nouveaux crimes ou délits, nonobstant le fait que le directeur des établissements pénitentiaires – lequel ne saurait lier le juge de l’application des peines et mesures ni le Tribunal cantonal – ait accepté, le 20 avril 2011, que le recourant exécute sa peine privative de liberté sous la forme de travail externe, ce qui suppose, selon le texte de l’art. 77a al. 1 CP, qu’il n’y a pas lieu de craindre qu’il commette de nouvelles infractions. Un pronostic défavorable s’impose dès lors que le bien juridique menacé est l’intégrité sexuelle, soit l’un des plus importants protégé par le droit pénal, qu’une prudence particulière s’impose donc en la matière, que X___________ souffre d’un trouble mixte de la personnalité, aux traits principalement pervers, paranoïaques et histrioniques, qu’il n’a débuté la psychothérapie préconisée par le Dr C___________ que très récemment, sans que des résultats probants ne soient attestés, alors que cet expert estimait fort probable que le recourant ne modifie ni son mode relationnel, ni ses attitudes et son comportement envers autrui, en particulier à l’égard des femmes et/ou des jeunes filles, et qu’il persiste à nier les deux viols pour lesquels il a été condamné. En tout état de cause, on ne voit pas en quoi une libération conditionnelle, assortie d’une assistance de probation et de règles de conduite, serait mieux à même de</w:t>
      </w:r>
    </w:p>
    <w:p>
      <w:r>
        <w:t>- 7 -</w:t>
      </w:r>
    </w:p>
    <w:p>
      <w:r>
        <w:t>favoriser la resocialisation de X___________, dès lors qu’il loge et travaille déjà à l’extérieur de l’établissement de détention. Sur le vu de ce qui précède, il n’y a pas lieu d’examiner les autres conditions cumulatives de la libération conditionnelle. Il s’ensuit le rejet du recours.</w:t>
      </w:r>
    </w:p>
    <w:p>
      <w:r>
        <w:rPr>
          <w:b/>
        </w:rPr>
        <w:t>E. 3</w:t>
      </w:r>
    </w:p>
    <w:p>
      <w:r>
        <w:t>Comme X___________ succombe, les frais de la procédure de recours sont mis à sa charge (art. 428 al. 1 CPP). L’émolument, qui doit respecter les principes de la couverture des frais et de l’équivalence des prestations, est fixé en fonction notamment de l’ampleur et de la difficulté de la cause (art. 13 al. 1 et 2 LTar). Il oscille entre 90 fr. et 2’000 fr. (art. 22 let. g LTar). En l’espèce, eu égard à la complexité moyenne de l’affaire, il est arrêté forfaitairement à 500 fr. (art. 424 al. 2 CPP et 11 LTar).</w:t>
      </w:r>
    </w:p>
    <w:p>
      <w:r>
        <w:t>Prononce</w:t>
      </w:r>
    </w:p>
    <w:p>
      <w:r>
        <w:t>1. Le recours est rejeté. 2. Les frais de la procédure de recours, par 500 francs, sont mis à la charge de X___________.</w:t>
      </w:r>
    </w:p>
    <w:p>
      <w:r>
        <w:t>Sion, le 29 juin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